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E59EB" w14:textId="73C5F152" w:rsidR="0009452F" w:rsidRPr="005B21F2" w:rsidRDefault="009662E7" w:rsidP="005B21F2">
      <w:pPr>
        <w:spacing w:after="0" w:line="240" w:lineRule="auto"/>
        <w:jc w:val="center"/>
        <w:rPr>
          <w:rFonts w:ascii="Book Antiqua" w:hAnsi="Book Antiqua"/>
          <w:sz w:val="40"/>
          <w:szCs w:val="40"/>
        </w:rPr>
      </w:pPr>
      <w:r w:rsidRPr="005B21F2">
        <w:rPr>
          <w:rFonts w:ascii="Book Antiqua" w:hAnsi="Book Antiqua"/>
          <w:sz w:val="40"/>
          <w:szCs w:val="40"/>
        </w:rPr>
        <w:t>George E. Swinford</w:t>
      </w:r>
    </w:p>
    <w:p w14:paraId="08F209AB" w14:textId="70550B20" w:rsidR="009662E7" w:rsidRPr="005B21F2" w:rsidRDefault="009662E7" w:rsidP="005B21F2">
      <w:pPr>
        <w:spacing w:after="0" w:line="240" w:lineRule="auto"/>
        <w:jc w:val="center"/>
        <w:rPr>
          <w:rFonts w:ascii="Book Antiqua" w:hAnsi="Book Antiqua"/>
          <w:sz w:val="40"/>
          <w:szCs w:val="40"/>
        </w:rPr>
      </w:pPr>
      <w:r w:rsidRPr="005B21F2">
        <w:rPr>
          <w:rFonts w:ascii="Book Antiqua" w:hAnsi="Book Antiqua"/>
          <w:sz w:val="40"/>
          <w:szCs w:val="40"/>
        </w:rPr>
        <w:t>June 24, 1928 – April 23, 2008</w:t>
      </w:r>
    </w:p>
    <w:p w14:paraId="4DCB0BE0" w14:textId="77777777" w:rsidR="005B21F2" w:rsidRPr="005B21F2" w:rsidRDefault="005B21F2" w:rsidP="005B21F2">
      <w:pPr>
        <w:spacing w:after="0" w:line="240" w:lineRule="auto"/>
        <w:jc w:val="center"/>
        <w:rPr>
          <w:rFonts w:ascii="Book Antiqua" w:hAnsi="Book Antiqua"/>
          <w:sz w:val="30"/>
          <w:szCs w:val="30"/>
        </w:rPr>
      </w:pPr>
    </w:p>
    <w:p w14:paraId="4137ABFA" w14:textId="49D067BA" w:rsidR="009662E7" w:rsidRPr="005B21F2" w:rsidRDefault="005B21F2" w:rsidP="005B21F2">
      <w:pPr>
        <w:spacing w:after="0" w:line="240" w:lineRule="auto"/>
        <w:jc w:val="center"/>
        <w:rPr>
          <w:rFonts w:ascii="Book Antiqua" w:hAnsi="Book Antiqua"/>
          <w:sz w:val="30"/>
          <w:szCs w:val="30"/>
        </w:rPr>
      </w:pPr>
      <w:r w:rsidRPr="005B21F2">
        <w:rPr>
          <w:rFonts w:ascii="Book Antiqua" w:hAnsi="Book Antiqua"/>
          <w:noProof/>
          <w:sz w:val="30"/>
          <w:szCs w:val="30"/>
        </w:rPr>
        <w:drawing>
          <wp:inline distT="0" distB="0" distL="0" distR="0" wp14:anchorId="7465599F" wp14:editId="3255D183">
            <wp:extent cx="3924300" cy="2597873"/>
            <wp:effectExtent l="0" t="0" r="0" b="0"/>
            <wp:docPr id="70396711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4808" t="4487" r="3686" b="14744"/>
                    <a:stretch>
                      <a:fillRect/>
                    </a:stretch>
                  </pic:blipFill>
                  <pic:spPr bwMode="auto">
                    <a:xfrm>
                      <a:off x="0" y="0"/>
                      <a:ext cx="3935204" cy="2605091"/>
                    </a:xfrm>
                    <a:prstGeom prst="rect">
                      <a:avLst/>
                    </a:prstGeom>
                    <a:noFill/>
                    <a:ln>
                      <a:noFill/>
                    </a:ln>
                    <a:extLst>
                      <a:ext uri="{53640926-AAD7-44D8-BBD7-CCE9431645EC}">
                        <a14:shadowObscured xmlns:a14="http://schemas.microsoft.com/office/drawing/2010/main"/>
                      </a:ext>
                    </a:extLst>
                  </pic:spPr>
                </pic:pic>
              </a:graphicData>
            </a:graphic>
          </wp:inline>
        </w:drawing>
      </w:r>
    </w:p>
    <w:p w14:paraId="15141594" w14:textId="385CBC94" w:rsidR="005B21F2" w:rsidRDefault="005B21F2" w:rsidP="005B21F2">
      <w:pPr>
        <w:spacing w:after="0" w:line="240" w:lineRule="auto"/>
        <w:jc w:val="center"/>
        <w:rPr>
          <w:rFonts w:ascii="Book Antiqua" w:hAnsi="Book Antiqua"/>
          <w:sz w:val="30"/>
          <w:szCs w:val="30"/>
        </w:rPr>
      </w:pPr>
      <w:r w:rsidRPr="005B21F2">
        <w:rPr>
          <w:rFonts w:ascii="Book Antiqua" w:hAnsi="Book Antiqua"/>
          <w:sz w:val="30"/>
          <w:szCs w:val="30"/>
        </w:rPr>
        <w:t>Photo by Thomas Liby</w:t>
      </w:r>
    </w:p>
    <w:p w14:paraId="41DBC4EB" w14:textId="77777777" w:rsidR="005B21F2" w:rsidRPr="005B21F2" w:rsidRDefault="005B21F2" w:rsidP="005B21F2">
      <w:pPr>
        <w:spacing w:after="0" w:line="240" w:lineRule="auto"/>
        <w:rPr>
          <w:rFonts w:ascii="Book Antiqua" w:hAnsi="Book Antiqua"/>
          <w:sz w:val="30"/>
          <w:szCs w:val="30"/>
        </w:rPr>
      </w:pPr>
    </w:p>
    <w:p w14:paraId="40B19D77" w14:textId="77777777" w:rsidR="005B21F2" w:rsidRDefault="005B21F2" w:rsidP="005B21F2">
      <w:pPr>
        <w:spacing w:after="0" w:line="240" w:lineRule="auto"/>
        <w:rPr>
          <w:rFonts w:ascii="Book Antiqua" w:hAnsi="Book Antiqua"/>
          <w:sz w:val="30"/>
          <w:szCs w:val="30"/>
        </w:rPr>
      </w:pPr>
      <w:r>
        <w:rPr>
          <w:rFonts w:ascii="Book Antiqua" w:hAnsi="Book Antiqua"/>
          <w:sz w:val="30"/>
          <w:szCs w:val="30"/>
        </w:rPr>
        <w:t xml:space="preserve">   </w:t>
      </w:r>
      <w:r w:rsidRPr="005B21F2">
        <w:rPr>
          <w:rFonts w:ascii="Book Antiqua" w:hAnsi="Book Antiqua"/>
          <w:sz w:val="30"/>
          <w:szCs w:val="30"/>
        </w:rPr>
        <w:t>George Swinford, 79, of Bluffton, died at 9 p.m. Wednesday, April 23, 2008, at Meadowvale Health and Rehabilitation Center.</w:t>
      </w:r>
      <w:r>
        <w:rPr>
          <w:rFonts w:ascii="Book Antiqua" w:hAnsi="Book Antiqua"/>
          <w:sz w:val="30"/>
          <w:szCs w:val="30"/>
        </w:rPr>
        <w:t xml:space="preserve">  </w:t>
      </w:r>
      <w:r w:rsidRPr="005B21F2">
        <w:rPr>
          <w:rFonts w:ascii="Book Antiqua" w:hAnsi="Book Antiqua"/>
          <w:sz w:val="30"/>
          <w:szCs w:val="30"/>
        </w:rPr>
        <w:t xml:space="preserve">Born in Thorntown on June 24, </w:t>
      </w:r>
      <w:proofErr w:type="gramStart"/>
      <w:r w:rsidRPr="005B21F2">
        <w:rPr>
          <w:rFonts w:ascii="Book Antiqua" w:hAnsi="Book Antiqua"/>
          <w:sz w:val="30"/>
          <w:szCs w:val="30"/>
        </w:rPr>
        <w:t>1928</w:t>
      </w:r>
      <w:proofErr w:type="gramEnd"/>
      <w:r w:rsidRPr="005B21F2">
        <w:rPr>
          <w:rFonts w:ascii="Book Antiqua" w:hAnsi="Book Antiqua"/>
          <w:sz w:val="30"/>
          <w:szCs w:val="30"/>
        </w:rPr>
        <w:t xml:space="preserve"> to Floyd and Lottie (Batts) Swinford, he married Kathleen James in Frankfort on June 2, 1950; she survives. </w:t>
      </w:r>
    </w:p>
    <w:p w14:paraId="51DB27E7" w14:textId="77777777" w:rsidR="005B21F2" w:rsidRDefault="005B21F2" w:rsidP="005B21F2">
      <w:pPr>
        <w:spacing w:after="0" w:line="240" w:lineRule="auto"/>
        <w:rPr>
          <w:rFonts w:ascii="Book Antiqua" w:hAnsi="Book Antiqua"/>
          <w:sz w:val="30"/>
          <w:szCs w:val="30"/>
        </w:rPr>
      </w:pPr>
      <w:r>
        <w:rPr>
          <w:rFonts w:ascii="Book Antiqua" w:hAnsi="Book Antiqua"/>
          <w:sz w:val="30"/>
          <w:szCs w:val="30"/>
        </w:rPr>
        <w:t xml:space="preserve">   </w:t>
      </w:r>
      <w:r w:rsidRPr="005B21F2">
        <w:rPr>
          <w:rFonts w:ascii="Book Antiqua" w:hAnsi="Book Antiqua"/>
          <w:sz w:val="30"/>
          <w:szCs w:val="30"/>
        </w:rPr>
        <w:t>A 1946 graduate of Frankfort High School, Mr. Swinford also graduated from Purdue University in 1950. He worked at the Conner Prairie Farms, Chester Hybrids and Orville Reidenbacher, before purchasing Briner Building in 1969, which he owned until 1983. He subsequently owned and developed Harrison Shopping Center and the Bluffton U-</w:t>
      </w:r>
      <w:proofErr w:type="spellStart"/>
      <w:r w:rsidRPr="005B21F2">
        <w:rPr>
          <w:rFonts w:ascii="Book Antiqua" w:hAnsi="Book Antiqua"/>
          <w:sz w:val="30"/>
          <w:szCs w:val="30"/>
        </w:rPr>
        <w:t>Stor</w:t>
      </w:r>
      <w:proofErr w:type="spellEnd"/>
      <w:r w:rsidRPr="005B21F2">
        <w:rPr>
          <w:rFonts w:ascii="Book Antiqua" w:hAnsi="Book Antiqua"/>
          <w:sz w:val="30"/>
          <w:szCs w:val="30"/>
        </w:rPr>
        <w:t xml:space="preserve">. </w:t>
      </w:r>
    </w:p>
    <w:p w14:paraId="67E529A0" w14:textId="77777777" w:rsidR="005B21F2" w:rsidRDefault="005B21F2" w:rsidP="005B21F2">
      <w:pPr>
        <w:spacing w:after="0" w:line="240" w:lineRule="auto"/>
        <w:rPr>
          <w:rFonts w:ascii="Book Antiqua" w:hAnsi="Book Antiqua"/>
          <w:sz w:val="30"/>
          <w:szCs w:val="30"/>
        </w:rPr>
      </w:pPr>
      <w:r>
        <w:rPr>
          <w:rFonts w:ascii="Book Antiqua" w:hAnsi="Book Antiqua"/>
          <w:sz w:val="30"/>
          <w:szCs w:val="30"/>
        </w:rPr>
        <w:t xml:space="preserve">   </w:t>
      </w:r>
      <w:r w:rsidRPr="005B21F2">
        <w:rPr>
          <w:rFonts w:ascii="Book Antiqua" w:hAnsi="Book Antiqua"/>
          <w:sz w:val="30"/>
          <w:szCs w:val="30"/>
        </w:rPr>
        <w:t xml:space="preserve">He served in the Army Reserve ROTC as Captain and was an active member. He was also a member of the Moose Lodge, Elks Lodge, Bluffton Masonic Lodge #145 and the Mizpah Shrine. </w:t>
      </w:r>
    </w:p>
    <w:p w14:paraId="01E48279" w14:textId="77777777" w:rsidR="005B21F2" w:rsidRDefault="005B21F2" w:rsidP="005B21F2">
      <w:pPr>
        <w:spacing w:after="0" w:line="240" w:lineRule="auto"/>
        <w:rPr>
          <w:rFonts w:ascii="Book Antiqua" w:hAnsi="Book Antiqua"/>
          <w:sz w:val="30"/>
          <w:szCs w:val="30"/>
        </w:rPr>
      </w:pPr>
      <w:r>
        <w:rPr>
          <w:rFonts w:ascii="Book Antiqua" w:hAnsi="Book Antiqua"/>
          <w:sz w:val="30"/>
          <w:szCs w:val="30"/>
        </w:rPr>
        <w:t xml:space="preserve">   </w:t>
      </w:r>
      <w:r w:rsidRPr="005B21F2">
        <w:rPr>
          <w:rFonts w:ascii="Book Antiqua" w:hAnsi="Book Antiqua"/>
          <w:sz w:val="30"/>
          <w:szCs w:val="30"/>
        </w:rPr>
        <w:t>Other surviving relatives include two sons, Michael (Deborah) Swinford of Fort Wayne and Ronald Swinford of Bluffton; one brother, Bob Swinford of Lafayette; four grandchildren and five great-grandchildren.</w:t>
      </w:r>
    </w:p>
    <w:p w14:paraId="564AADE9" w14:textId="77777777" w:rsidR="005B21F2" w:rsidRDefault="005B21F2" w:rsidP="005B21F2">
      <w:pPr>
        <w:spacing w:after="0" w:line="240" w:lineRule="auto"/>
        <w:rPr>
          <w:rFonts w:ascii="Book Antiqua" w:hAnsi="Book Antiqua"/>
          <w:sz w:val="30"/>
          <w:szCs w:val="30"/>
        </w:rPr>
      </w:pPr>
      <w:r>
        <w:rPr>
          <w:rFonts w:ascii="Book Antiqua" w:hAnsi="Book Antiqua"/>
          <w:sz w:val="30"/>
          <w:szCs w:val="30"/>
        </w:rPr>
        <w:t xml:space="preserve">   </w:t>
      </w:r>
      <w:r w:rsidRPr="005B21F2">
        <w:rPr>
          <w:rFonts w:ascii="Book Antiqua" w:hAnsi="Book Antiqua"/>
          <w:sz w:val="30"/>
          <w:szCs w:val="30"/>
        </w:rPr>
        <w:t xml:space="preserve">Mr. Swinford was also preceded in death by three brothers, Marvin, Jim and Laverne Swinford. </w:t>
      </w:r>
    </w:p>
    <w:p w14:paraId="68F02237" w14:textId="0069D0A3" w:rsidR="005B21F2" w:rsidRPr="005B21F2" w:rsidRDefault="005B21F2" w:rsidP="005B21F2">
      <w:pPr>
        <w:spacing w:after="0" w:line="240" w:lineRule="auto"/>
        <w:rPr>
          <w:rFonts w:ascii="Book Antiqua" w:hAnsi="Book Antiqua"/>
          <w:sz w:val="30"/>
          <w:szCs w:val="30"/>
        </w:rPr>
      </w:pPr>
      <w:r>
        <w:rPr>
          <w:rFonts w:ascii="Book Antiqua" w:hAnsi="Book Antiqua"/>
          <w:sz w:val="30"/>
          <w:szCs w:val="30"/>
        </w:rPr>
        <w:t xml:space="preserve">   </w:t>
      </w:r>
      <w:r w:rsidRPr="005B21F2">
        <w:rPr>
          <w:rFonts w:ascii="Book Antiqua" w:hAnsi="Book Antiqua"/>
          <w:sz w:val="30"/>
          <w:szCs w:val="30"/>
        </w:rPr>
        <w:t xml:space="preserve">Funeral services will be at 10 a.m. Saturday, at the </w:t>
      </w:r>
      <w:proofErr w:type="spellStart"/>
      <w:r w:rsidRPr="005B21F2">
        <w:rPr>
          <w:rFonts w:ascii="Book Antiqua" w:hAnsi="Book Antiqua"/>
          <w:sz w:val="30"/>
          <w:szCs w:val="30"/>
        </w:rPr>
        <w:t>Thoma</w:t>
      </w:r>
      <w:proofErr w:type="spellEnd"/>
      <w:r w:rsidRPr="005B21F2">
        <w:rPr>
          <w:rFonts w:ascii="Book Antiqua" w:hAnsi="Book Antiqua"/>
          <w:sz w:val="30"/>
          <w:szCs w:val="30"/>
        </w:rPr>
        <w:t>/Rich, Chaney &amp; Lemler Funeral Home in Bluffton, with Pastor Cindy Osgood officiating. Calling hours will be from 4 to 8 p.m. Friday at the funeral home. Burial is at Fairview Cemetery, in Bluffton. Preferred memorials are to the American Diabetes Association.</w:t>
      </w:r>
    </w:p>
    <w:p w14:paraId="1FB76477" w14:textId="77777777" w:rsidR="005B21F2" w:rsidRPr="005B21F2" w:rsidRDefault="005B21F2" w:rsidP="005B21F2">
      <w:pPr>
        <w:spacing w:after="0" w:line="240" w:lineRule="auto"/>
        <w:rPr>
          <w:rFonts w:ascii="Book Antiqua" w:hAnsi="Book Antiqua"/>
          <w:sz w:val="30"/>
          <w:szCs w:val="30"/>
        </w:rPr>
      </w:pPr>
    </w:p>
    <w:p w14:paraId="665D709F" w14:textId="3D2ADFE8" w:rsidR="005B21F2" w:rsidRPr="005B21F2" w:rsidRDefault="005B21F2" w:rsidP="005B21F2">
      <w:pPr>
        <w:spacing w:after="0" w:line="240" w:lineRule="auto"/>
        <w:rPr>
          <w:rFonts w:ascii="Book Antiqua" w:hAnsi="Book Antiqua"/>
          <w:sz w:val="30"/>
          <w:szCs w:val="30"/>
        </w:rPr>
      </w:pPr>
      <w:r w:rsidRPr="005B21F2">
        <w:rPr>
          <w:rFonts w:ascii="Book Antiqua" w:hAnsi="Book Antiqua"/>
          <w:sz w:val="30"/>
          <w:szCs w:val="30"/>
        </w:rPr>
        <w:t>Bluffton News-Banner</w:t>
      </w:r>
      <w:r w:rsidRPr="005B21F2">
        <w:rPr>
          <w:rFonts w:ascii="Book Antiqua" w:hAnsi="Book Antiqua"/>
          <w:sz w:val="30"/>
          <w:szCs w:val="30"/>
        </w:rPr>
        <w:t>, Wells County, Indiana</w:t>
      </w:r>
      <w:r w:rsidRPr="005B21F2">
        <w:rPr>
          <w:rFonts w:ascii="Book Antiqua" w:hAnsi="Book Antiqua"/>
          <w:sz w:val="30"/>
          <w:szCs w:val="30"/>
        </w:rPr>
        <w:br/>
        <w:t>Thursday, April 24, 2008</w:t>
      </w:r>
    </w:p>
    <w:sectPr w:rsidR="005B21F2" w:rsidRPr="005B21F2" w:rsidSect="005B21F2">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2E7"/>
    <w:rsid w:val="0009452F"/>
    <w:rsid w:val="000F5DC1"/>
    <w:rsid w:val="005B21F2"/>
    <w:rsid w:val="009662E7"/>
    <w:rsid w:val="00D03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487DB"/>
  <w15:chartTrackingRefBased/>
  <w15:docId w15:val="{A8DE4216-6907-43CE-B380-839823E95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62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62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62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62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62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62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62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62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62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2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62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62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62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62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62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62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62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62E7"/>
    <w:rPr>
      <w:rFonts w:eastAsiaTheme="majorEastAsia" w:cstheme="majorBidi"/>
      <w:color w:val="272727" w:themeColor="text1" w:themeTint="D8"/>
    </w:rPr>
  </w:style>
  <w:style w:type="paragraph" w:styleId="Title">
    <w:name w:val="Title"/>
    <w:basedOn w:val="Normal"/>
    <w:next w:val="Normal"/>
    <w:link w:val="TitleChar"/>
    <w:uiPriority w:val="10"/>
    <w:qFormat/>
    <w:rsid w:val="009662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62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62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62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62E7"/>
    <w:pPr>
      <w:spacing w:before="160"/>
      <w:jc w:val="center"/>
    </w:pPr>
    <w:rPr>
      <w:i/>
      <w:iCs/>
      <w:color w:val="404040" w:themeColor="text1" w:themeTint="BF"/>
    </w:rPr>
  </w:style>
  <w:style w:type="character" w:customStyle="1" w:styleId="QuoteChar">
    <w:name w:val="Quote Char"/>
    <w:basedOn w:val="DefaultParagraphFont"/>
    <w:link w:val="Quote"/>
    <w:uiPriority w:val="29"/>
    <w:rsid w:val="009662E7"/>
    <w:rPr>
      <w:i/>
      <w:iCs/>
      <w:color w:val="404040" w:themeColor="text1" w:themeTint="BF"/>
    </w:rPr>
  </w:style>
  <w:style w:type="paragraph" w:styleId="ListParagraph">
    <w:name w:val="List Paragraph"/>
    <w:basedOn w:val="Normal"/>
    <w:uiPriority w:val="34"/>
    <w:qFormat/>
    <w:rsid w:val="009662E7"/>
    <w:pPr>
      <w:ind w:left="720"/>
      <w:contextualSpacing/>
    </w:pPr>
  </w:style>
  <w:style w:type="character" w:styleId="IntenseEmphasis">
    <w:name w:val="Intense Emphasis"/>
    <w:basedOn w:val="DefaultParagraphFont"/>
    <w:uiPriority w:val="21"/>
    <w:qFormat/>
    <w:rsid w:val="009662E7"/>
    <w:rPr>
      <w:i/>
      <w:iCs/>
      <w:color w:val="0F4761" w:themeColor="accent1" w:themeShade="BF"/>
    </w:rPr>
  </w:style>
  <w:style w:type="paragraph" w:styleId="IntenseQuote">
    <w:name w:val="Intense Quote"/>
    <w:basedOn w:val="Normal"/>
    <w:next w:val="Normal"/>
    <w:link w:val="IntenseQuoteChar"/>
    <w:uiPriority w:val="30"/>
    <w:qFormat/>
    <w:rsid w:val="009662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62E7"/>
    <w:rPr>
      <w:i/>
      <w:iCs/>
      <w:color w:val="0F4761" w:themeColor="accent1" w:themeShade="BF"/>
    </w:rPr>
  </w:style>
  <w:style w:type="character" w:styleId="IntenseReference">
    <w:name w:val="Intense Reference"/>
    <w:basedOn w:val="DefaultParagraphFont"/>
    <w:uiPriority w:val="32"/>
    <w:qFormat/>
    <w:rsid w:val="009662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1</cp:revision>
  <dcterms:created xsi:type="dcterms:W3CDTF">2026-04-16T13:54:00Z</dcterms:created>
  <dcterms:modified xsi:type="dcterms:W3CDTF">2026-04-16T14:13:00Z</dcterms:modified>
</cp:coreProperties>
</file>