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15BFE3" w14:textId="3348B9B7" w:rsidR="0009452F" w:rsidRPr="0024528D" w:rsidRDefault="0024528D" w:rsidP="0024528D">
      <w:pPr>
        <w:spacing w:after="0" w:line="240" w:lineRule="auto"/>
        <w:jc w:val="center"/>
        <w:rPr>
          <w:rFonts w:ascii="Book Antiqua" w:hAnsi="Book Antiqua" w:cs="Calibri"/>
          <w:sz w:val="40"/>
          <w:szCs w:val="40"/>
        </w:rPr>
      </w:pPr>
      <w:r w:rsidRPr="0024528D">
        <w:rPr>
          <w:rFonts w:ascii="Book Antiqua" w:hAnsi="Book Antiqua" w:cs="Calibri"/>
          <w:sz w:val="40"/>
          <w:szCs w:val="40"/>
        </w:rPr>
        <w:t>Maurice E. Teeple</w:t>
      </w:r>
    </w:p>
    <w:p w14:paraId="6DAD6E65" w14:textId="63793F6E" w:rsidR="0024528D" w:rsidRPr="0024528D" w:rsidRDefault="0024528D" w:rsidP="0024528D">
      <w:pPr>
        <w:spacing w:after="0" w:line="240" w:lineRule="auto"/>
        <w:jc w:val="center"/>
        <w:rPr>
          <w:rFonts w:ascii="Book Antiqua" w:hAnsi="Book Antiqua" w:cs="Calibri"/>
          <w:sz w:val="40"/>
          <w:szCs w:val="40"/>
        </w:rPr>
      </w:pPr>
      <w:r w:rsidRPr="0024528D">
        <w:rPr>
          <w:rFonts w:ascii="Book Antiqua" w:hAnsi="Book Antiqua" w:cs="Calibri"/>
          <w:sz w:val="40"/>
          <w:szCs w:val="40"/>
        </w:rPr>
        <w:t>June 25, 1925 – January 14, 2014</w:t>
      </w:r>
    </w:p>
    <w:p w14:paraId="5C389A56" w14:textId="77777777" w:rsidR="0024528D" w:rsidRPr="0024528D" w:rsidRDefault="0024528D" w:rsidP="0024528D">
      <w:pPr>
        <w:spacing w:after="0" w:line="240" w:lineRule="auto"/>
        <w:rPr>
          <w:rFonts w:ascii="Book Antiqua" w:hAnsi="Book Antiqua" w:cs="Calibri"/>
          <w:sz w:val="30"/>
          <w:szCs w:val="30"/>
        </w:rPr>
      </w:pPr>
    </w:p>
    <w:p w14:paraId="6EB3BBCE" w14:textId="6E92517F" w:rsidR="0024528D" w:rsidRPr="0024528D" w:rsidRDefault="0024528D" w:rsidP="0024528D">
      <w:pPr>
        <w:spacing w:after="0" w:line="240" w:lineRule="auto"/>
        <w:rPr>
          <w:rFonts w:ascii="Book Antiqua" w:hAnsi="Book Antiqua" w:cs="Calibri"/>
          <w:sz w:val="30"/>
          <w:szCs w:val="30"/>
        </w:rPr>
      </w:pPr>
      <w:r w:rsidRPr="0024528D">
        <w:rPr>
          <w:rFonts w:ascii="Book Antiqua" w:hAnsi="Book Antiqua" w:cs="Calibri"/>
          <w:noProof/>
          <w:sz w:val="30"/>
          <w:szCs w:val="30"/>
        </w:rPr>
        <w:drawing>
          <wp:inline distT="0" distB="0" distL="0" distR="0" wp14:anchorId="4EBDBF1A" wp14:editId="63A38C09">
            <wp:extent cx="2066925" cy="1613961"/>
            <wp:effectExtent l="0" t="0" r="0" b="5715"/>
            <wp:docPr id="89766816"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8494" t="21942" r="16186" b="13118"/>
                    <a:stretch>
                      <a:fillRect/>
                    </a:stretch>
                  </pic:blipFill>
                  <pic:spPr bwMode="auto">
                    <a:xfrm>
                      <a:off x="0" y="0"/>
                      <a:ext cx="2089237" cy="1631384"/>
                    </a:xfrm>
                    <a:prstGeom prst="rect">
                      <a:avLst/>
                    </a:prstGeom>
                    <a:noFill/>
                    <a:ln>
                      <a:noFill/>
                    </a:ln>
                    <a:extLst>
                      <a:ext uri="{53640926-AAD7-44D8-BBD7-CCE9431645EC}">
                        <a14:shadowObscured xmlns:a14="http://schemas.microsoft.com/office/drawing/2010/main"/>
                      </a:ext>
                    </a:extLst>
                  </pic:spPr>
                </pic:pic>
              </a:graphicData>
            </a:graphic>
          </wp:inline>
        </w:drawing>
      </w:r>
      <w:r w:rsidRPr="0024528D">
        <w:rPr>
          <w:rFonts w:ascii="Book Antiqua" w:hAnsi="Book Antiqua" w:cs="Calibri"/>
          <w:sz w:val="30"/>
          <w:szCs w:val="30"/>
        </w:rPr>
        <w:t xml:space="preserve">  </w:t>
      </w:r>
      <w:r w:rsidRPr="0024528D">
        <w:rPr>
          <w:rFonts w:ascii="Book Antiqua" w:hAnsi="Book Antiqua" w:cs="Calibri"/>
          <w:noProof/>
          <w:sz w:val="30"/>
          <w:szCs w:val="30"/>
        </w:rPr>
        <w:drawing>
          <wp:inline distT="0" distB="0" distL="0" distR="0" wp14:anchorId="42AF0728" wp14:editId="10B42A5F">
            <wp:extent cx="3579974" cy="1619250"/>
            <wp:effectExtent l="0" t="0" r="1905" b="0"/>
            <wp:docPr id="1978941949"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l="25481" t="18375" r="22436" b="50214"/>
                    <a:stretch>
                      <a:fillRect/>
                    </a:stretch>
                  </pic:blipFill>
                  <pic:spPr bwMode="auto">
                    <a:xfrm>
                      <a:off x="0" y="0"/>
                      <a:ext cx="3595298" cy="1626181"/>
                    </a:xfrm>
                    <a:prstGeom prst="rect">
                      <a:avLst/>
                    </a:prstGeom>
                    <a:noFill/>
                    <a:ln>
                      <a:noFill/>
                    </a:ln>
                    <a:extLst>
                      <a:ext uri="{53640926-AAD7-44D8-BBD7-CCE9431645EC}">
                        <a14:shadowObscured xmlns:a14="http://schemas.microsoft.com/office/drawing/2010/main"/>
                      </a:ext>
                    </a:extLst>
                  </pic:spPr>
                </pic:pic>
              </a:graphicData>
            </a:graphic>
          </wp:inline>
        </w:drawing>
      </w:r>
    </w:p>
    <w:p w14:paraId="2BF5D880" w14:textId="2B227307" w:rsidR="0024528D" w:rsidRDefault="0024528D" w:rsidP="0024528D">
      <w:pPr>
        <w:spacing w:after="0" w:line="240" w:lineRule="auto"/>
        <w:rPr>
          <w:rFonts w:ascii="Book Antiqua" w:hAnsi="Book Antiqua" w:cs="Calibri"/>
          <w:sz w:val="30"/>
          <w:szCs w:val="30"/>
        </w:rPr>
      </w:pPr>
      <w:r>
        <w:rPr>
          <w:rFonts w:ascii="Book Antiqua" w:hAnsi="Book Antiqua" w:cs="Calibri"/>
          <w:sz w:val="30"/>
          <w:szCs w:val="30"/>
        </w:rPr>
        <w:t xml:space="preserve">   </w:t>
      </w:r>
      <w:r w:rsidRPr="0024528D">
        <w:rPr>
          <w:rFonts w:ascii="Book Antiqua" w:hAnsi="Book Antiqua" w:cs="Calibri"/>
          <w:sz w:val="30"/>
          <w:szCs w:val="30"/>
        </w:rPr>
        <w:t>Photo by Deb Curry                          Photo by Alicia Kneuss</w:t>
      </w:r>
    </w:p>
    <w:p w14:paraId="6115A235" w14:textId="77777777" w:rsidR="0024528D" w:rsidRPr="0024528D" w:rsidRDefault="0024528D" w:rsidP="0024528D">
      <w:pPr>
        <w:spacing w:after="0" w:line="240" w:lineRule="auto"/>
        <w:rPr>
          <w:rFonts w:ascii="Book Antiqua" w:hAnsi="Book Antiqua" w:cs="Calibri"/>
          <w:sz w:val="30"/>
          <w:szCs w:val="30"/>
        </w:rPr>
      </w:pPr>
    </w:p>
    <w:p w14:paraId="37E6B096" w14:textId="77777777" w:rsidR="0024528D" w:rsidRPr="0024528D" w:rsidRDefault="0024528D" w:rsidP="0024528D">
      <w:pPr>
        <w:spacing w:after="0" w:line="240" w:lineRule="auto"/>
        <w:rPr>
          <w:rFonts w:ascii="Book Antiqua" w:hAnsi="Book Antiqua" w:cs="Calibri"/>
          <w:sz w:val="30"/>
          <w:szCs w:val="30"/>
        </w:rPr>
      </w:pPr>
      <w:r w:rsidRPr="0024528D">
        <w:rPr>
          <w:rFonts w:ascii="Book Antiqua" w:hAnsi="Book Antiqua" w:cs="Calibri"/>
          <w:sz w:val="30"/>
          <w:szCs w:val="30"/>
        </w:rPr>
        <w:t xml:space="preserve">   </w:t>
      </w:r>
      <w:r w:rsidRPr="0024528D">
        <w:rPr>
          <w:rFonts w:ascii="Book Antiqua" w:hAnsi="Book Antiqua" w:cs="Calibri"/>
          <w:sz w:val="30"/>
          <w:szCs w:val="30"/>
        </w:rPr>
        <w:t xml:space="preserve">Maurice E. “Maury” Teeple, 88, of Decatur, IN passed away on Tuesday, January 14, </w:t>
      </w:r>
      <w:proofErr w:type="gramStart"/>
      <w:r w:rsidRPr="0024528D">
        <w:rPr>
          <w:rFonts w:ascii="Book Antiqua" w:hAnsi="Book Antiqua" w:cs="Calibri"/>
          <w:sz w:val="30"/>
          <w:szCs w:val="30"/>
        </w:rPr>
        <w:t>2014</w:t>
      </w:r>
      <w:proofErr w:type="gramEnd"/>
      <w:r w:rsidRPr="0024528D">
        <w:rPr>
          <w:rFonts w:ascii="Book Antiqua" w:hAnsi="Book Antiqua" w:cs="Calibri"/>
          <w:sz w:val="30"/>
          <w:szCs w:val="30"/>
        </w:rPr>
        <w:t xml:space="preserve"> at Adams Memorial Hospital. He was born on June 25, </w:t>
      </w:r>
      <w:proofErr w:type="gramStart"/>
      <w:r w:rsidRPr="0024528D">
        <w:rPr>
          <w:rFonts w:ascii="Book Antiqua" w:hAnsi="Book Antiqua" w:cs="Calibri"/>
          <w:sz w:val="30"/>
          <w:szCs w:val="30"/>
        </w:rPr>
        <w:t>1925</w:t>
      </w:r>
      <w:proofErr w:type="gramEnd"/>
      <w:r w:rsidRPr="0024528D">
        <w:rPr>
          <w:rFonts w:ascii="Book Antiqua" w:hAnsi="Book Antiqua" w:cs="Calibri"/>
          <w:sz w:val="30"/>
          <w:szCs w:val="30"/>
        </w:rPr>
        <w:t xml:space="preserve"> in Decatur to the late Fred E. and Iva A. (Barrone) Teeple. On January 26, </w:t>
      </w:r>
      <w:proofErr w:type="gramStart"/>
      <w:r w:rsidRPr="0024528D">
        <w:rPr>
          <w:rFonts w:ascii="Book Antiqua" w:hAnsi="Book Antiqua" w:cs="Calibri"/>
          <w:sz w:val="30"/>
          <w:szCs w:val="30"/>
        </w:rPr>
        <w:t>1946</w:t>
      </w:r>
      <w:proofErr w:type="gramEnd"/>
      <w:r w:rsidRPr="0024528D">
        <w:rPr>
          <w:rFonts w:ascii="Book Antiqua" w:hAnsi="Book Antiqua" w:cs="Calibri"/>
          <w:sz w:val="30"/>
          <w:szCs w:val="30"/>
        </w:rPr>
        <w:t xml:space="preserve"> he married Mary L. Whitaker; she died on August 24, 1994. He was a member of St. Mark’s United Methodist Church, where he served on most of the various boards. </w:t>
      </w:r>
    </w:p>
    <w:p w14:paraId="0CBB76FA" w14:textId="77777777" w:rsidR="0024528D" w:rsidRPr="0024528D" w:rsidRDefault="0024528D" w:rsidP="0024528D">
      <w:pPr>
        <w:spacing w:after="0" w:line="240" w:lineRule="auto"/>
        <w:rPr>
          <w:rFonts w:ascii="Book Antiqua" w:hAnsi="Book Antiqua" w:cs="Calibri"/>
          <w:sz w:val="30"/>
          <w:szCs w:val="30"/>
        </w:rPr>
      </w:pPr>
      <w:r w:rsidRPr="0024528D">
        <w:rPr>
          <w:rFonts w:ascii="Book Antiqua" w:hAnsi="Book Antiqua" w:cs="Calibri"/>
          <w:sz w:val="30"/>
          <w:szCs w:val="30"/>
        </w:rPr>
        <w:t xml:space="preserve">   </w:t>
      </w:r>
      <w:r w:rsidRPr="0024528D">
        <w:rPr>
          <w:rFonts w:ascii="Book Antiqua" w:hAnsi="Book Antiqua" w:cs="Calibri"/>
          <w:sz w:val="30"/>
          <w:szCs w:val="30"/>
        </w:rPr>
        <w:t xml:space="preserve">He faithfully served his country in the U.S. Navy during WWII and was a member of the American Legion Post 43. Maury worked for G.E. in Decatur, the Decatur Police Department, he was the owner and operator of Decatur Blue </w:t>
      </w:r>
      <w:proofErr w:type="gramStart"/>
      <w:r w:rsidRPr="0024528D">
        <w:rPr>
          <w:rFonts w:ascii="Book Antiqua" w:hAnsi="Book Antiqua" w:cs="Calibri"/>
          <w:sz w:val="30"/>
          <w:szCs w:val="30"/>
        </w:rPr>
        <w:t>Flame, and</w:t>
      </w:r>
      <w:proofErr w:type="gramEnd"/>
      <w:r w:rsidRPr="0024528D">
        <w:rPr>
          <w:rFonts w:ascii="Book Antiqua" w:hAnsi="Book Antiqua" w:cs="Calibri"/>
          <w:sz w:val="30"/>
          <w:szCs w:val="30"/>
        </w:rPr>
        <w:t xml:space="preserve"> retired from First State Bank in 1984. Maury was a member of the Decatur Masonic Lodge 571 F. &amp; A.M. for over 50 </w:t>
      </w:r>
      <w:proofErr w:type="gramStart"/>
      <w:r w:rsidRPr="0024528D">
        <w:rPr>
          <w:rFonts w:ascii="Book Antiqua" w:hAnsi="Book Antiqua" w:cs="Calibri"/>
          <w:sz w:val="30"/>
          <w:szCs w:val="30"/>
        </w:rPr>
        <w:t>years,</w:t>
      </w:r>
      <w:proofErr w:type="gramEnd"/>
      <w:r w:rsidRPr="0024528D">
        <w:rPr>
          <w:rFonts w:ascii="Book Antiqua" w:hAnsi="Book Antiqua" w:cs="Calibri"/>
          <w:sz w:val="30"/>
          <w:szCs w:val="30"/>
        </w:rPr>
        <w:t xml:space="preserve"> Ancient Accepted Scottish Rite Valley of Fort Wayne and the Mizpah Shrine. He was also the last living charter member of the Decatur Optimist Club, where he served as the president, secretary, treasurer and lieutenant governor for this district. He was a retired volunteer firefighter in Decatur for 52 years. </w:t>
      </w:r>
    </w:p>
    <w:p w14:paraId="55143AF8" w14:textId="77777777" w:rsidR="0024528D" w:rsidRPr="0024528D" w:rsidRDefault="0024528D" w:rsidP="0024528D">
      <w:pPr>
        <w:spacing w:after="0" w:line="240" w:lineRule="auto"/>
        <w:rPr>
          <w:rFonts w:ascii="Book Antiqua" w:hAnsi="Book Antiqua" w:cs="Calibri"/>
          <w:sz w:val="30"/>
          <w:szCs w:val="30"/>
        </w:rPr>
      </w:pPr>
      <w:r w:rsidRPr="0024528D">
        <w:rPr>
          <w:rFonts w:ascii="Book Antiqua" w:hAnsi="Book Antiqua" w:cs="Calibri"/>
          <w:sz w:val="30"/>
          <w:szCs w:val="30"/>
        </w:rPr>
        <w:t xml:space="preserve">   </w:t>
      </w:r>
      <w:r w:rsidRPr="0024528D">
        <w:rPr>
          <w:rFonts w:ascii="Book Antiqua" w:hAnsi="Book Antiqua" w:cs="Calibri"/>
          <w:sz w:val="30"/>
          <w:szCs w:val="30"/>
        </w:rPr>
        <w:t xml:space="preserve">He is survived by a son Gary E. (Joyce) Teeple of Decatur; 3 daughters Cheryl (William) Bowers of Monroeville, Sonya (Joe) Myers of Hamilton, and Julie (Chris) Blauvelt of Monroeville; a brother James (Clara Lou) Teeple of Monroe; 14 grandchildren and 32 great grandchildren. He was also preceded in death by 3 </w:t>
      </w:r>
      <w:proofErr w:type="gramStart"/>
      <w:r w:rsidRPr="0024528D">
        <w:rPr>
          <w:rFonts w:ascii="Book Antiqua" w:hAnsi="Book Antiqua" w:cs="Calibri"/>
          <w:sz w:val="30"/>
          <w:szCs w:val="30"/>
        </w:rPr>
        <w:t>step brothers</w:t>
      </w:r>
      <w:proofErr w:type="gramEnd"/>
      <w:r w:rsidRPr="0024528D">
        <w:rPr>
          <w:rFonts w:ascii="Book Antiqua" w:hAnsi="Book Antiqua" w:cs="Calibri"/>
          <w:sz w:val="30"/>
          <w:szCs w:val="30"/>
        </w:rPr>
        <w:t xml:space="preserve"> Jack, Jim and Bill Hunter and a great grandson Ethan Teeple. </w:t>
      </w:r>
    </w:p>
    <w:p w14:paraId="41435723" w14:textId="46DA7633" w:rsidR="0024528D" w:rsidRDefault="0024528D" w:rsidP="0024528D">
      <w:pPr>
        <w:spacing w:after="0" w:line="240" w:lineRule="auto"/>
        <w:rPr>
          <w:rFonts w:ascii="Book Antiqua" w:hAnsi="Book Antiqua" w:cs="Calibri"/>
          <w:sz w:val="30"/>
          <w:szCs w:val="30"/>
        </w:rPr>
      </w:pPr>
      <w:r w:rsidRPr="0024528D">
        <w:rPr>
          <w:rFonts w:ascii="Book Antiqua" w:hAnsi="Book Antiqua" w:cs="Calibri"/>
          <w:sz w:val="30"/>
          <w:szCs w:val="30"/>
        </w:rPr>
        <w:t xml:space="preserve">   </w:t>
      </w:r>
      <w:r w:rsidRPr="0024528D">
        <w:rPr>
          <w:rFonts w:ascii="Book Antiqua" w:hAnsi="Book Antiqua" w:cs="Calibri"/>
          <w:sz w:val="30"/>
          <w:szCs w:val="30"/>
        </w:rPr>
        <w:t xml:space="preserve">Visitation will be from 11:00 a.m. – 5:00 p.m. on Sunday, January 19, </w:t>
      </w:r>
      <w:proofErr w:type="gramStart"/>
      <w:r w:rsidRPr="0024528D">
        <w:rPr>
          <w:rFonts w:ascii="Book Antiqua" w:hAnsi="Book Antiqua" w:cs="Calibri"/>
          <w:sz w:val="30"/>
          <w:szCs w:val="30"/>
        </w:rPr>
        <w:t>2014</w:t>
      </w:r>
      <w:proofErr w:type="gramEnd"/>
      <w:r w:rsidRPr="0024528D">
        <w:rPr>
          <w:rFonts w:ascii="Book Antiqua" w:hAnsi="Book Antiqua" w:cs="Calibri"/>
          <w:sz w:val="30"/>
          <w:szCs w:val="30"/>
        </w:rPr>
        <w:t xml:space="preserve"> at Haggard-Sefton &amp; Hirschy Funeral Home with a Masonic Service at 5:00 p.m. followed by an Optimist Memorial Service and a walk through by the Decatur Fire Department. Funeral Service will be held at St. Mark’s United Methodist Church at 11:00 a.m. on Monday, January 20, </w:t>
      </w:r>
      <w:proofErr w:type="gramStart"/>
      <w:r w:rsidRPr="0024528D">
        <w:rPr>
          <w:rFonts w:ascii="Book Antiqua" w:hAnsi="Book Antiqua" w:cs="Calibri"/>
          <w:sz w:val="30"/>
          <w:szCs w:val="30"/>
        </w:rPr>
        <w:t>2014</w:t>
      </w:r>
      <w:proofErr w:type="gramEnd"/>
      <w:r w:rsidRPr="0024528D">
        <w:rPr>
          <w:rFonts w:ascii="Book Antiqua" w:hAnsi="Book Antiqua" w:cs="Calibri"/>
          <w:sz w:val="30"/>
          <w:szCs w:val="30"/>
        </w:rPr>
        <w:t xml:space="preserve"> with calling 1 hour prior the service with The Reverend Phil Emerson officiating. </w:t>
      </w:r>
      <w:proofErr w:type="gramStart"/>
      <w:r w:rsidRPr="0024528D">
        <w:rPr>
          <w:rFonts w:ascii="Book Antiqua" w:hAnsi="Book Antiqua" w:cs="Calibri"/>
          <w:sz w:val="30"/>
          <w:szCs w:val="30"/>
        </w:rPr>
        <w:t>Burial</w:t>
      </w:r>
      <w:proofErr w:type="gramEnd"/>
      <w:r w:rsidRPr="0024528D">
        <w:rPr>
          <w:rFonts w:ascii="Book Antiqua" w:hAnsi="Book Antiqua" w:cs="Calibri"/>
          <w:sz w:val="30"/>
          <w:szCs w:val="30"/>
        </w:rPr>
        <w:t xml:space="preserve"> will follow in the Decatur Cemetery with Military Graveside Rites by the America Legion Post 43 Color Guard. In lieu of flowers, please make donations to St. Mark’s United Methodist Church or Riley Children’s Hospital. </w:t>
      </w:r>
    </w:p>
    <w:p w14:paraId="3429ECAC" w14:textId="77777777" w:rsidR="0024528D" w:rsidRPr="0024528D" w:rsidRDefault="0024528D" w:rsidP="0024528D">
      <w:pPr>
        <w:spacing w:after="0" w:line="240" w:lineRule="auto"/>
        <w:rPr>
          <w:rFonts w:ascii="Book Antiqua" w:hAnsi="Book Antiqua" w:cs="Calibri"/>
          <w:sz w:val="30"/>
          <w:szCs w:val="30"/>
        </w:rPr>
      </w:pPr>
    </w:p>
    <w:p w14:paraId="1EFFFEE3" w14:textId="77777777" w:rsidR="0024528D" w:rsidRPr="0024528D" w:rsidRDefault="0024528D" w:rsidP="0024528D">
      <w:pPr>
        <w:spacing w:after="0" w:line="240" w:lineRule="auto"/>
        <w:rPr>
          <w:rFonts w:ascii="Book Antiqua" w:hAnsi="Book Antiqua" w:cs="Calibri"/>
          <w:sz w:val="30"/>
          <w:szCs w:val="30"/>
        </w:rPr>
      </w:pPr>
      <w:r w:rsidRPr="0024528D">
        <w:rPr>
          <w:rFonts w:ascii="Book Antiqua" w:hAnsi="Book Antiqua" w:cs="Calibri"/>
          <w:sz w:val="30"/>
          <w:szCs w:val="30"/>
        </w:rPr>
        <w:t>Haggard-Sefton &amp; Hirschy Funeral Home</w:t>
      </w:r>
      <w:r w:rsidRPr="0024528D">
        <w:rPr>
          <w:rFonts w:ascii="Book Antiqua" w:hAnsi="Book Antiqua" w:cs="Calibri"/>
          <w:sz w:val="30"/>
          <w:szCs w:val="30"/>
        </w:rPr>
        <w:t>, Adams County, Indiana</w:t>
      </w:r>
    </w:p>
    <w:p w14:paraId="7CBFBDF2" w14:textId="5F0A7E41" w:rsidR="0024528D" w:rsidRDefault="0024528D"/>
    <w:sectPr w:rsidR="0024528D" w:rsidSect="0024528D">
      <w:pgSz w:w="12240" w:h="208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28D"/>
    <w:rsid w:val="0009452F"/>
    <w:rsid w:val="000F5DC1"/>
    <w:rsid w:val="0024528D"/>
    <w:rsid w:val="00E01B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D82394"/>
  <w15:chartTrackingRefBased/>
  <w15:docId w15:val="{380562AC-E94F-4D9D-A464-53F71D922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4528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4528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4528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4528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4528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4528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4528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4528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4528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528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4528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4528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4528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4528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4528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4528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4528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4528D"/>
    <w:rPr>
      <w:rFonts w:eastAsiaTheme="majorEastAsia" w:cstheme="majorBidi"/>
      <w:color w:val="272727" w:themeColor="text1" w:themeTint="D8"/>
    </w:rPr>
  </w:style>
  <w:style w:type="paragraph" w:styleId="Title">
    <w:name w:val="Title"/>
    <w:basedOn w:val="Normal"/>
    <w:next w:val="Normal"/>
    <w:link w:val="TitleChar"/>
    <w:uiPriority w:val="10"/>
    <w:qFormat/>
    <w:rsid w:val="0024528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4528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4528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4528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4528D"/>
    <w:pPr>
      <w:spacing w:before="160"/>
      <w:jc w:val="center"/>
    </w:pPr>
    <w:rPr>
      <w:i/>
      <w:iCs/>
      <w:color w:val="404040" w:themeColor="text1" w:themeTint="BF"/>
    </w:rPr>
  </w:style>
  <w:style w:type="character" w:customStyle="1" w:styleId="QuoteChar">
    <w:name w:val="Quote Char"/>
    <w:basedOn w:val="DefaultParagraphFont"/>
    <w:link w:val="Quote"/>
    <w:uiPriority w:val="29"/>
    <w:rsid w:val="0024528D"/>
    <w:rPr>
      <w:i/>
      <w:iCs/>
      <w:color w:val="404040" w:themeColor="text1" w:themeTint="BF"/>
    </w:rPr>
  </w:style>
  <w:style w:type="paragraph" w:styleId="ListParagraph">
    <w:name w:val="List Paragraph"/>
    <w:basedOn w:val="Normal"/>
    <w:uiPriority w:val="34"/>
    <w:qFormat/>
    <w:rsid w:val="0024528D"/>
    <w:pPr>
      <w:ind w:left="720"/>
      <w:contextualSpacing/>
    </w:pPr>
  </w:style>
  <w:style w:type="character" w:styleId="IntenseEmphasis">
    <w:name w:val="Intense Emphasis"/>
    <w:basedOn w:val="DefaultParagraphFont"/>
    <w:uiPriority w:val="21"/>
    <w:qFormat/>
    <w:rsid w:val="0024528D"/>
    <w:rPr>
      <w:i/>
      <w:iCs/>
      <w:color w:val="0F4761" w:themeColor="accent1" w:themeShade="BF"/>
    </w:rPr>
  </w:style>
  <w:style w:type="paragraph" w:styleId="IntenseQuote">
    <w:name w:val="Intense Quote"/>
    <w:basedOn w:val="Normal"/>
    <w:next w:val="Normal"/>
    <w:link w:val="IntenseQuoteChar"/>
    <w:uiPriority w:val="30"/>
    <w:qFormat/>
    <w:rsid w:val="002452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4528D"/>
    <w:rPr>
      <w:i/>
      <w:iCs/>
      <w:color w:val="0F4761" w:themeColor="accent1" w:themeShade="BF"/>
    </w:rPr>
  </w:style>
  <w:style w:type="character" w:styleId="IntenseReference">
    <w:name w:val="Intense Reference"/>
    <w:basedOn w:val="DefaultParagraphFont"/>
    <w:uiPriority w:val="32"/>
    <w:qFormat/>
    <w:rsid w:val="0024528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414</Words>
  <Characters>1887</Characters>
  <Application>Microsoft Office Word</Application>
  <DocSecurity>0</DocSecurity>
  <Lines>94</Lines>
  <Paragraphs>109</Paragraphs>
  <ScaleCrop>false</ScaleCrop>
  <Company/>
  <LinksUpToDate>false</LinksUpToDate>
  <CharactersWithSpaces>2192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1</cp:revision>
  <dcterms:created xsi:type="dcterms:W3CDTF">2026-04-01T19:18:00Z</dcterms:created>
  <dcterms:modified xsi:type="dcterms:W3CDTF">2026-04-01T19:27:00Z</dcterms:modified>
</cp:coreProperties>
</file>