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BB38A" w14:textId="77777777" w:rsidR="002E3109" w:rsidRDefault="002E3109" w:rsidP="00E8354C">
      <w:pPr>
        <w:contextualSpacing/>
        <w:jc w:val="center"/>
        <w:rPr>
          <w:rFonts w:ascii="Book Antiqua" w:hAnsi="Book Antiqua"/>
          <w:sz w:val="40"/>
          <w:szCs w:val="40"/>
        </w:rPr>
      </w:pPr>
    </w:p>
    <w:p w14:paraId="6611094F" w14:textId="5C58A200" w:rsidR="00F536DA" w:rsidRDefault="0083027B" w:rsidP="00E8354C">
      <w:pPr>
        <w:contextualSpacing/>
        <w:jc w:val="center"/>
        <w:rPr>
          <w:rFonts w:ascii="Book Antiqua" w:hAnsi="Book Antiqua"/>
          <w:sz w:val="40"/>
          <w:szCs w:val="40"/>
        </w:rPr>
      </w:pPr>
      <w:r>
        <w:rPr>
          <w:rFonts w:ascii="Book Antiqua" w:hAnsi="Book Antiqua"/>
          <w:sz w:val="40"/>
          <w:szCs w:val="40"/>
        </w:rPr>
        <w:t>Joseph E. Shaw</w:t>
      </w:r>
    </w:p>
    <w:p w14:paraId="369EFCBB" w14:textId="77777777" w:rsidR="0083027B" w:rsidRDefault="0083027B" w:rsidP="00E8354C">
      <w:pPr>
        <w:contextualSpacing/>
        <w:jc w:val="center"/>
        <w:rPr>
          <w:rFonts w:ascii="Book Antiqua" w:hAnsi="Book Antiqua"/>
          <w:sz w:val="40"/>
          <w:szCs w:val="40"/>
        </w:rPr>
      </w:pPr>
      <w:r>
        <w:rPr>
          <w:rFonts w:ascii="Book Antiqua" w:hAnsi="Book Antiqua"/>
          <w:sz w:val="40"/>
          <w:szCs w:val="40"/>
        </w:rPr>
        <w:t>January 20, 1945 – August 24, 2014</w:t>
      </w:r>
    </w:p>
    <w:p w14:paraId="0C527465" w14:textId="77777777" w:rsidR="00E8354C" w:rsidRDefault="00E8354C" w:rsidP="00E8354C">
      <w:pPr>
        <w:contextualSpacing/>
        <w:jc w:val="center"/>
        <w:rPr>
          <w:rFonts w:ascii="Book Antiqua" w:hAnsi="Book Antiqua"/>
          <w:sz w:val="40"/>
          <w:szCs w:val="40"/>
        </w:rPr>
      </w:pPr>
    </w:p>
    <w:p w14:paraId="5247EDBA" w14:textId="77777777" w:rsidR="00E8354C" w:rsidRDefault="0083027B" w:rsidP="00E8354C">
      <w:pPr>
        <w:contextualSpacing/>
        <w:jc w:val="center"/>
        <w:rPr>
          <w:rFonts w:ascii="Book Antiqua" w:hAnsi="Book Antiqua"/>
          <w:sz w:val="40"/>
          <w:szCs w:val="40"/>
        </w:rPr>
      </w:pPr>
      <w:r>
        <w:rPr>
          <w:noProof/>
        </w:rPr>
        <w:drawing>
          <wp:inline distT="0" distB="0" distL="0" distR="0" wp14:anchorId="49DC0074" wp14:editId="02F856BB">
            <wp:extent cx="4651012" cy="2076239"/>
            <wp:effectExtent l="0" t="0" r="0" b="635"/>
            <wp:docPr id="2" name="Picture 2" descr="https://images.findagrave.com/photos/2019/126/134870043_d7844741-4d22-4b14-bee0-8ef9203059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9/126/134870043_d7844741-4d22-4b14-bee0-8ef920305963.jpeg"/>
                    <pic:cNvPicPr>
                      <a:picLocks noChangeAspect="1" noChangeArrowheads="1"/>
                    </pic:cNvPicPr>
                  </pic:nvPicPr>
                  <pic:blipFill rotWithShape="1">
                    <a:blip r:embed="rId4">
                      <a:extLst>
                        <a:ext uri="{28A0092B-C50C-407E-A947-70E740481C1C}">
                          <a14:useLocalDpi xmlns:a14="http://schemas.microsoft.com/office/drawing/2010/main" val="0"/>
                        </a:ext>
                      </a:extLst>
                    </a:blip>
                    <a:srcRect l="12492" t="22008" r="5640" b="29299"/>
                    <a:stretch/>
                  </pic:blipFill>
                  <pic:spPr bwMode="auto">
                    <a:xfrm>
                      <a:off x="0" y="0"/>
                      <a:ext cx="4681927" cy="2090040"/>
                    </a:xfrm>
                    <a:prstGeom prst="rect">
                      <a:avLst/>
                    </a:prstGeom>
                    <a:noFill/>
                    <a:ln>
                      <a:noFill/>
                    </a:ln>
                    <a:extLst>
                      <a:ext uri="{53640926-AAD7-44D8-BBD7-CCE9431645EC}">
                        <a14:shadowObscured xmlns:a14="http://schemas.microsoft.com/office/drawing/2010/main"/>
                      </a:ext>
                    </a:extLst>
                  </pic:spPr>
                </pic:pic>
              </a:graphicData>
            </a:graphic>
          </wp:inline>
        </w:drawing>
      </w:r>
    </w:p>
    <w:p w14:paraId="2C77EA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3027B">
        <w:rPr>
          <w:rFonts w:ascii="Book Antiqua" w:hAnsi="Book Antiqua"/>
          <w:sz w:val="30"/>
          <w:szCs w:val="30"/>
        </w:rPr>
        <w:t>PLS</w:t>
      </w:r>
    </w:p>
    <w:p w14:paraId="0F760DCA" w14:textId="77777777" w:rsidR="00D40122" w:rsidRPr="007212B5" w:rsidRDefault="00D40122" w:rsidP="00951232">
      <w:pPr>
        <w:contextualSpacing/>
        <w:jc w:val="center"/>
        <w:rPr>
          <w:rFonts w:ascii="Book Antiqua" w:eastAsia="Times New Roman" w:hAnsi="Book Antiqua" w:cs="Times New Roman"/>
          <w:sz w:val="30"/>
          <w:szCs w:val="30"/>
        </w:rPr>
      </w:pPr>
    </w:p>
    <w:p w14:paraId="3EFBB4C8" w14:textId="77777777" w:rsidR="0083027B" w:rsidRPr="0083027B" w:rsidRDefault="0083027B" w:rsidP="0083027B">
      <w:pPr>
        <w:contextualSpacing/>
        <w:rPr>
          <w:rFonts w:ascii="Book Antiqua" w:hAnsi="Book Antiqua"/>
          <w:sz w:val="30"/>
          <w:szCs w:val="30"/>
        </w:rPr>
      </w:pPr>
      <w:r>
        <w:rPr>
          <w:rFonts w:ascii="Book Antiqua" w:hAnsi="Book Antiqua"/>
          <w:sz w:val="30"/>
          <w:szCs w:val="30"/>
        </w:rPr>
        <w:t xml:space="preserve">   </w:t>
      </w:r>
      <w:r w:rsidRPr="0083027B">
        <w:rPr>
          <w:rFonts w:ascii="Book Antiqua" w:hAnsi="Book Antiqua"/>
          <w:sz w:val="30"/>
          <w:szCs w:val="30"/>
        </w:rPr>
        <w:t xml:space="preserve">Joseph E. Shaw, 69 of Decatur, IN died on Sunday, August 24, 2014 at Chalet Village in Berne. Joseph was born on January 20, 1945 in Decatur, IN to the late Carl and Georgie (Hower) Shaw. </w:t>
      </w:r>
    </w:p>
    <w:p w14:paraId="2359D41F" w14:textId="77777777" w:rsidR="002E3109" w:rsidRDefault="0083027B" w:rsidP="0083027B">
      <w:pPr>
        <w:contextualSpacing/>
        <w:rPr>
          <w:rFonts w:ascii="Book Antiqua" w:hAnsi="Book Antiqua"/>
          <w:sz w:val="30"/>
          <w:szCs w:val="30"/>
        </w:rPr>
      </w:pPr>
      <w:r>
        <w:rPr>
          <w:rFonts w:ascii="Book Antiqua" w:hAnsi="Book Antiqua"/>
          <w:sz w:val="30"/>
          <w:szCs w:val="30"/>
        </w:rPr>
        <w:t xml:space="preserve">   </w:t>
      </w:r>
      <w:r w:rsidRPr="0083027B">
        <w:rPr>
          <w:rFonts w:ascii="Book Antiqua" w:hAnsi="Book Antiqua"/>
          <w:sz w:val="30"/>
          <w:szCs w:val="30"/>
        </w:rPr>
        <w:t xml:space="preserve">Joseph detailed vehicles for Phil L. Macklin Co. </w:t>
      </w:r>
      <w:r>
        <w:rPr>
          <w:rFonts w:ascii="Book Antiqua" w:hAnsi="Book Antiqua"/>
          <w:sz w:val="30"/>
          <w:szCs w:val="30"/>
        </w:rPr>
        <w:t xml:space="preserve"> </w:t>
      </w:r>
      <w:r w:rsidRPr="0083027B">
        <w:rPr>
          <w:rFonts w:ascii="Book Antiqua" w:hAnsi="Book Antiqua"/>
          <w:sz w:val="30"/>
          <w:szCs w:val="30"/>
        </w:rPr>
        <w:br/>
      </w:r>
      <w:r>
        <w:rPr>
          <w:rFonts w:ascii="Book Antiqua" w:hAnsi="Book Antiqua"/>
          <w:sz w:val="30"/>
          <w:szCs w:val="30"/>
        </w:rPr>
        <w:t xml:space="preserve">   </w:t>
      </w:r>
      <w:r w:rsidRPr="0083027B">
        <w:rPr>
          <w:rFonts w:ascii="Book Antiqua" w:hAnsi="Book Antiqua"/>
          <w:sz w:val="30"/>
          <w:szCs w:val="30"/>
        </w:rPr>
        <w:t xml:space="preserve">He is survived by his daughters Bonnie J. Shaw and Connie J. Shaw, and his brothers Bud (Sarah) Shaw, Ted (Mary) Shaw, Johnny Johnson, Bobby Johnson, and Henry </w:t>
      </w:r>
      <w:proofErr w:type="gramStart"/>
      <w:r w:rsidRPr="0083027B">
        <w:rPr>
          <w:rFonts w:ascii="Book Antiqua" w:hAnsi="Book Antiqua"/>
          <w:sz w:val="30"/>
          <w:szCs w:val="30"/>
        </w:rPr>
        <w:t>Johnson</w:t>
      </w:r>
      <w:proofErr w:type="gramEnd"/>
      <w:r w:rsidRPr="0083027B">
        <w:rPr>
          <w:rFonts w:ascii="Book Antiqua" w:hAnsi="Book Antiqua"/>
          <w:sz w:val="30"/>
          <w:szCs w:val="30"/>
        </w:rPr>
        <w:t xml:space="preserve"> all of Decatur, as well as his sister Mary Kahn, of Bryant, IN and four grandchildren. </w:t>
      </w:r>
      <w:r>
        <w:rPr>
          <w:rFonts w:ascii="Book Antiqua" w:hAnsi="Book Antiqua"/>
          <w:sz w:val="30"/>
          <w:szCs w:val="30"/>
        </w:rPr>
        <w:t xml:space="preserve"> </w:t>
      </w:r>
    </w:p>
    <w:p w14:paraId="5953318C" w14:textId="100C4B6D" w:rsidR="0083027B" w:rsidRDefault="002E3109" w:rsidP="0083027B">
      <w:pPr>
        <w:contextualSpacing/>
        <w:rPr>
          <w:rFonts w:ascii="Book Antiqua" w:hAnsi="Book Antiqua"/>
          <w:sz w:val="30"/>
          <w:szCs w:val="30"/>
        </w:rPr>
      </w:pPr>
      <w:r>
        <w:rPr>
          <w:rFonts w:ascii="Book Antiqua" w:hAnsi="Book Antiqua"/>
          <w:sz w:val="30"/>
          <w:szCs w:val="30"/>
        </w:rPr>
        <w:t xml:space="preserve">   </w:t>
      </w:r>
      <w:r w:rsidR="0083027B" w:rsidRPr="0083027B">
        <w:rPr>
          <w:rFonts w:ascii="Book Antiqua" w:hAnsi="Book Antiqua"/>
          <w:sz w:val="30"/>
          <w:szCs w:val="30"/>
        </w:rPr>
        <w:t>He was preceded in death by his son Joseph E. Shaw II, his granddaughter Tiffany Nicole Spillers-Shaw, and his brother Dewey Johnson.</w:t>
      </w:r>
      <w:r w:rsidR="0083027B">
        <w:rPr>
          <w:rFonts w:ascii="Book Antiqua" w:hAnsi="Book Antiqua"/>
          <w:sz w:val="30"/>
          <w:szCs w:val="30"/>
        </w:rPr>
        <w:t xml:space="preserve"> </w:t>
      </w:r>
      <w:r w:rsidR="0083027B" w:rsidRPr="0083027B">
        <w:rPr>
          <w:rFonts w:ascii="Book Antiqua" w:hAnsi="Book Antiqua"/>
          <w:sz w:val="30"/>
          <w:szCs w:val="30"/>
        </w:rPr>
        <w:br/>
      </w:r>
      <w:r w:rsidR="0083027B">
        <w:rPr>
          <w:rFonts w:ascii="Book Antiqua" w:hAnsi="Book Antiqua"/>
          <w:sz w:val="30"/>
          <w:szCs w:val="30"/>
        </w:rPr>
        <w:t xml:space="preserve">   </w:t>
      </w:r>
      <w:r w:rsidR="0083027B" w:rsidRPr="0083027B">
        <w:rPr>
          <w:rFonts w:ascii="Book Antiqua" w:hAnsi="Book Antiqua"/>
          <w:sz w:val="30"/>
          <w:szCs w:val="30"/>
        </w:rPr>
        <w:t xml:space="preserve">Visitation will take place at the Haggard – Sefton &amp; Hirschy Funeral Home on August 28th, 2014 from 9:00 a.m. – 10 a.m., with the funeral services being held at 10 a.m. Pastor Rex Grant will be officiating and burial will take place in the Decatur Cemetery. </w:t>
      </w:r>
      <w:r w:rsidR="0083027B">
        <w:rPr>
          <w:rFonts w:ascii="Book Antiqua" w:hAnsi="Book Antiqua"/>
          <w:sz w:val="30"/>
          <w:szCs w:val="30"/>
        </w:rPr>
        <w:t xml:space="preserve"> </w:t>
      </w:r>
      <w:r w:rsidR="0083027B" w:rsidRPr="0083027B">
        <w:rPr>
          <w:rFonts w:ascii="Book Antiqua" w:hAnsi="Book Antiqua"/>
          <w:sz w:val="30"/>
          <w:szCs w:val="30"/>
        </w:rPr>
        <w:br/>
      </w:r>
      <w:r w:rsidR="0083027B">
        <w:rPr>
          <w:rFonts w:ascii="Book Antiqua" w:hAnsi="Book Antiqua"/>
          <w:sz w:val="30"/>
          <w:szCs w:val="30"/>
        </w:rPr>
        <w:t xml:space="preserve">   </w:t>
      </w:r>
      <w:r w:rsidR="0083027B" w:rsidRPr="0083027B">
        <w:rPr>
          <w:rFonts w:ascii="Book Antiqua" w:hAnsi="Book Antiqua"/>
          <w:sz w:val="30"/>
          <w:szCs w:val="30"/>
        </w:rPr>
        <w:t xml:space="preserve">Memorials may be made to the family. </w:t>
      </w:r>
    </w:p>
    <w:p w14:paraId="67A0C058" w14:textId="77777777" w:rsidR="0083027B" w:rsidRPr="0083027B" w:rsidRDefault="0083027B" w:rsidP="0083027B">
      <w:pPr>
        <w:contextualSpacing/>
        <w:rPr>
          <w:rFonts w:ascii="Book Antiqua" w:hAnsi="Book Antiqua"/>
          <w:sz w:val="30"/>
          <w:szCs w:val="30"/>
        </w:rPr>
      </w:pPr>
    </w:p>
    <w:p w14:paraId="1CFFCCCF" w14:textId="77777777" w:rsidR="0083027B" w:rsidRDefault="0083027B" w:rsidP="0083027B">
      <w:pPr>
        <w:contextualSpacing/>
        <w:rPr>
          <w:rFonts w:ascii="Book Antiqua" w:hAnsi="Book Antiqua"/>
          <w:sz w:val="30"/>
          <w:szCs w:val="30"/>
        </w:rPr>
      </w:pPr>
      <w:r w:rsidRPr="0083027B">
        <w:rPr>
          <w:rFonts w:ascii="Book Antiqua" w:hAnsi="Book Antiqua"/>
          <w:sz w:val="30"/>
          <w:szCs w:val="30"/>
        </w:rPr>
        <w:t>Haggard-Sefton &amp; Hirschy Funeral Home</w:t>
      </w:r>
      <w:r>
        <w:rPr>
          <w:rFonts w:ascii="Book Antiqua" w:hAnsi="Book Antiqua"/>
          <w:sz w:val="30"/>
          <w:szCs w:val="30"/>
        </w:rPr>
        <w:t>, Adams County, Indiana</w:t>
      </w:r>
    </w:p>
    <w:p w14:paraId="1C60D6B3" w14:textId="77777777" w:rsidR="0083027B" w:rsidRDefault="0083027B" w:rsidP="0083027B">
      <w:pPr>
        <w:contextualSpacing/>
        <w:rPr>
          <w:rFonts w:ascii="Book Antiqua" w:hAnsi="Book Antiqua"/>
          <w:sz w:val="30"/>
          <w:szCs w:val="30"/>
        </w:rPr>
      </w:pPr>
      <w:r>
        <w:rPr>
          <w:rFonts w:ascii="Book Antiqua" w:hAnsi="Book Antiqua"/>
          <w:sz w:val="30"/>
          <w:szCs w:val="30"/>
        </w:rPr>
        <w:t>August 25, 2014</w:t>
      </w:r>
    </w:p>
    <w:p w14:paraId="4A195F07" w14:textId="77777777" w:rsidR="0083027B" w:rsidRPr="0083027B" w:rsidRDefault="0083027B" w:rsidP="0083027B">
      <w:pPr>
        <w:contextualSpacing/>
        <w:rPr>
          <w:rFonts w:ascii="Book Antiqua" w:hAnsi="Book Antiqua"/>
          <w:sz w:val="30"/>
          <w:szCs w:val="30"/>
        </w:rPr>
      </w:pPr>
    </w:p>
    <w:p w14:paraId="4A5F6CC1" w14:textId="77777777" w:rsidR="00951232" w:rsidRPr="0083027B" w:rsidRDefault="00951232" w:rsidP="0083027B">
      <w:pPr>
        <w:contextualSpacing/>
        <w:rPr>
          <w:rFonts w:ascii="Book Antiqua" w:hAnsi="Book Antiqua"/>
          <w:sz w:val="30"/>
          <w:szCs w:val="30"/>
        </w:rPr>
      </w:pPr>
    </w:p>
    <w:sectPr w:rsidR="00951232" w:rsidRPr="0083027B"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2E3109"/>
    <w:rsid w:val="00383111"/>
    <w:rsid w:val="003D6C8F"/>
    <w:rsid w:val="00435771"/>
    <w:rsid w:val="004C4886"/>
    <w:rsid w:val="004F551D"/>
    <w:rsid w:val="005A5BE8"/>
    <w:rsid w:val="005F3308"/>
    <w:rsid w:val="00645AAD"/>
    <w:rsid w:val="00715FD5"/>
    <w:rsid w:val="00717E83"/>
    <w:rsid w:val="007212B5"/>
    <w:rsid w:val="007A0932"/>
    <w:rsid w:val="007E7C52"/>
    <w:rsid w:val="0083027B"/>
    <w:rsid w:val="0084534F"/>
    <w:rsid w:val="008B7C67"/>
    <w:rsid w:val="00951232"/>
    <w:rsid w:val="00B52DB4"/>
    <w:rsid w:val="00B55454"/>
    <w:rsid w:val="00BD10F3"/>
    <w:rsid w:val="00BE629C"/>
    <w:rsid w:val="00C50291"/>
    <w:rsid w:val="00C55188"/>
    <w:rsid w:val="00CE4631"/>
    <w:rsid w:val="00D40122"/>
    <w:rsid w:val="00DA59E4"/>
    <w:rsid w:val="00E1281A"/>
    <w:rsid w:val="00E16677"/>
    <w:rsid w:val="00E552AF"/>
    <w:rsid w:val="00E8354C"/>
    <w:rsid w:val="00F05F77"/>
    <w:rsid w:val="00F108B3"/>
    <w:rsid w:val="00F27C02"/>
    <w:rsid w:val="00F536DA"/>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3B9D7"/>
  <w15:docId w15:val="{6A8EE079-CE61-4DB9-8C04-6B0483AA7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188</Words>
  <Characters>908</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2020-06-09T01:17:00Z</dcterms:created>
  <dcterms:modified xsi:type="dcterms:W3CDTF">2026-02-16T16:36:00Z</dcterms:modified>
</cp:coreProperties>
</file>